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0E" w:rsidRPr="00692327" w:rsidRDefault="0063030E" w:rsidP="003504B9">
      <w:pPr>
        <w:spacing w:after="240"/>
        <w:jc w:val="both"/>
        <w:rPr>
          <w:b/>
        </w:rPr>
      </w:pPr>
    </w:p>
    <w:p w:rsidR="0063030E" w:rsidRPr="00692327" w:rsidRDefault="003504B9" w:rsidP="003504B9">
      <w:pPr>
        <w:rPr>
          <w:b/>
        </w:rPr>
      </w:pPr>
      <w:r>
        <w:rPr>
          <w:b/>
        </w:rPr>
        <w:tab/>
      </w:r>
    </w:p>
    <w:tbl>
      <w:tblPr>
        <w:tblW w:w="9810" w:type="dxa"/>
        <w:tblInd w:w="198" w:type="dxa"/>
        <w:tblLayout w:type="fixed"/>
        <w:tblLook w:val="0000"/>
      </w:tblPr>
      <w:tblGrid>
        <w:gridCol w:w="3330"/>
        <w:gridCol w:w="180"/>
        <w:gridCol w:w="1440"/>
        <w:gridCol w:w="2160"/>
        <w:gridCol w:w="2700"/>
      </w:tblGrid>
      <w:tr w:rsidR="0063030E" w:rsidRPr="00692327" w:rsidTr="0063030E">
        <w:tc>
          <w:tcPr>
            <w:tcW w:w="98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030E" w:rsidRPr="00692327" w:rsidRDefault="0063030E" w:rsidP="0063030E">
            <w:pPr>
              <w:spacing w:before="120" w:after="60"/>
              <w:jc w:val="center"/>
            </w:pPr>
            <w:r w:rsidRPr="00692327">
              <w:br w:type="page"/>
            </w:r>
            <w:r w:rsidRPr="00692327">
              <w:br w:type="page"/>
            </w:r>
            <w:r w:rsidRPr="00692327">
              <w:br w:type="page"/>
            </w:r>
            <w:r w:rsidRPr="00692327">
              <w:rPr>
                <w:b/>
                <w:bCs/>
              </w:rPr>
              <w:t>BIOGRAPHICAL SKETCH</w:t>
            </w:r>
          </w:p>
        </w:tc>
      </w:tr>
      <w:tr w:rsidR="0063030E" w:rsidRPr="00692327" w:rsidTr="0063030E">
        <w:tc>
          <w:tcPr>
            <w:tcW w:w="98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030E" w:rsidRPr="00692327" w:rsidRDefault="0063030E" w:rsidP="0063030E">
            <w:pPr>
              <w:jc w:val="center"/>
            </w:pPr>
          </w:p>
        </w:tc>
      </w:tr>
      <w:tr w:rsidR="0063030E" w:rsidRPr="00692327" w:rsidTr="0063030E">
        <w:tc>
          <w:tcPr>
            <w:tcW w:w="35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30E" w:rsidRPr="00692327" w:rsidRDefault="0063030E" w:rsidP="0063030E">
            <w:r w:rsidRPr="00692327">
              <w:t>NAME</w:t>
            </w:r>
          </w:p>
          <w:p w:rsidR="0063030E" w:rsidRPr="00692327" w:rsidRDefault="0063030E" w:rsidP="0063030E"/>
          <w:p w:rsidR="0063030E" w:rsidRPr="00692327" w:rsidRDefault="002F39F0" w:rsidP="0063030E">
            <w:pPr>
              <w:pStyle w:val="Date"/>
              <w:rPr>
                <w:rFonts w:ascii="Times New Roman" w:hAnsi="Times New Roman" w:cs="Times New Roman"/>
              </w:rPr>
            </w:pPr>
            <w:r w:rsidRPr="00692327">
              <w:rPr>
                <w:rFonts w:ascii="Times New Roman" w:hAnsi="Times New Roman" w:cs="Times New Roman"/>
                <w:b/>
                <w:bCs/>
              </w:rPr>
              <w:t>Klibs N. Galvão</w:t>
            </w: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030E" w:rsidRPr="00692327" w:rsidRDefault="0063030E" w:rsidP="0063030E">
            <w:r w:rsidRPr="00692327">
              <w:t>POSITION TITLE</w:t>
            </w:r>
          </w:p>
          <w:p w:rsidR="0063030E" w:rsidRPr="00692327" w:rsidRDefault="0063030E" w:rsidP="0063030E"/>
          <w:p w:rsidR="0063030E" w:rsidRPr="00692327" w:rsidRDefault="002F39F0" w:rsidP="0063030E">
            <w:r w:rsidRPr="00692327">
              <w:t xml:space="preserve">Assistant </w:t>
            </w:r>
            <w:r w:rsidR="0063030E" w:rsidRPr="00692327">
              <w:t>Professor</w:t>
            </w:r>
          </w:p>
        </w:tc>
      </w:tr>
      <w:tr w:rsidR="0063030E" w:rsidRPr="00692327" w:rsidTr="0063030E">
        <w:tc>
          <w:tcPr>
            <w:tcW w:w="98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3030E" w:rsidRPr="00692327" w:rsidRDefault="0063030E" w:rsidP="0063030E">
            <w:pPr>
              <w:spacing w:before="40" w:after="40"/>
            </w:pPr>
            <w:r w:rsidRPr="00692327">
              <w:t>EDUCATION/TRAINING (</w:t>
            </w:r>
            <w:r w:rsidRPr="00692327">
              <w:rPr>
                <w:i/>
                <w:iCs/>
              </w:rPr>
              <w:t>Begin with baccalaureate or other initial professional education, such as nursing, and include postdoctoral training.)</w:t>
            </w:r>
          </w:p>
        </w:tc>
      </w:tr>
      <w:tr w:rsidR="0063030E" w:rsidRPr="00692327" w:rsidTr="0063030E"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30E" w:rsidRPr="00692327" w:rsidRDefault="0063030E" w:rsidP="0063030E">
            <w:pPr>
              <w:spacing w:before="120"/>
              <w:jc w:val="center"/>
            </w:pPr>
            <w:r w:rsidRPr="00692327">
              <w:t>INSTITUTION AND LOCATION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30E" w:rsidRPr="00692327" w:rsidRDefault="0063030E" w:rsidP="0063030E">
            <w:pPr>
              <w:spacing w:before="60"/>
              <w:jc w:val="center"/>
            </w:pPr>
            <w:r w:rsidRPr="00692327">
              <w:t>DEGREE</w:t>
            </w:r>
          </w:p>
          <w:p w:rsidR="0063030E" w:rsidRPr="00692327" w:rsidRDefault="0063030E" w:rsidP="0063030E">
            <w:pPr>
              <w:spacing w:after="40"/>
              <w:jc w:val="center"/>
            </w:pPr>
            <w:r w:rsidRPr="00692327">
              <w:rPr>
                <w:i/>
                <w:iCs/>
              </w:rPr>
              <w:t>(if applicable)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30E" w:rsidRPr="00692327" w:rsidRDefault="0063030E" w:rsidP="0063030E">
            <w:pPr>
              <w:spacing w:before="120"/>
              <w:jc w:val="center"/>
            </w:pPr>
            <w:r w:rsidRPr="00692327">
              <w:t>YEAR(s)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3030E" w:rsidRPr="00692327" w:rsidRDefault="0063030E" w:rsidP="0063030E">
            <w:pPr>
              <w:spacing w:before="120"/>
              <w:jc w:val="center"/>
            </w:pPr>
            <w:r w:rsidRPr="00692327">
              <w:t>FIELD OF STUDY</w:t>
            </w:r>
          </w:p>
        </w:tc>
      </w:tr>
      <w:tr w:rsidR="0063030E" w:rsidRPr="00692327" w:rsidTr="0063030E">
        <w:tc>
          <w:tcPr>
            <w:tcW w:w="333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3030E" w:rsidRPr="00692327" w:rsidRDefault="002F39F0" w:rsidP="002F39F0">
            <w:pPr>
              <w:spacing w:before="20" w:after="20"/>
            </w:pPr>
            <w:r w:rsidRPr="00692327">
              <w:t xml:space="preserve">Fed. University of </w:t>
            </w:r>
            <w:proofErr w:type="spellStart"/>
            <w:r w:rsidRPr="00692327">
              <w:t>Goiás</w:t>
            </w:r>
            <w:proofErr w:type="spellEnd"/>
            <w:r w:rsidRPr="00692327">
              <w:t>, Brazil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30E" w:rsidRPr="00692327" w:rsidRDefault="002F39F0" w:rsidP="00D817BB">
            <w:pPr>
              <w:spacing w:before="20" w:after="20"/>
            </w:pPr>
            <w:r w:rsidRPr="00692327">
              <w:t>DVM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30E" w:rsidRPr="00692327" w:rsidRDefault="002F39F0" w:rsidP="002F39F0">
            <w:pPr>
              <w:spacing w:before="20" w:after="20"/>
            </w:pPr>
            <w:r w:rsidRPr="00692327">
              <w:t>2002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3030E" w:rsidRPr="00692327" w:rsidRDefault="002F39F0" w:rsidP="0063030E">
            <w:pPr>
              <w:spacing w:before="20" w:after="20"/>
            </w:pPr>
            <w:r w:rsidRPr="00692327">
              <w:t>Veterinary Medicine</w:t>
            </w:r>
          </w:p>
        </w:tc>
      </w:tr>
      <w:tr w:rsidR="002F39F0" w:rsidRPr="00692327" w:rsidTr="0063030E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9F0" w:rsidRPr="00692327" w:rsidRDefault="002F39F0" w:rsidP="0063030E">
            <w:pPr>
              <w:spacing w:before="20" w:after="20"/>
            </w:pPr>
            <w:r w:rsidRPr="00692327">
              <w:t>University of California, Davis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9F0" w:rsidRPr="00692327" w:rsidRDefault="002F39F0" w:rsidP="00D817BB">
            <w:pPr>
              <w:spacing w:before="20" w:after="20"/>
            </w:pPr>
            <w:r w:rsidRPr="00692327">
              <w:t>MPVM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9F0" w:rsidRPr="00692327" w:rsidRDefault="002F39F0" w:rsidP="0063030E">
            <w:pPr>
              <w:spacing w:before="20" w:after="20"/>
            </w:pPr>
            <w:r w:rsidRPr="00692327">
              <w:t>2005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9F0" w:rsidRPr="00692327" w:rsidRDefault="002F39F0" w:rsidP="0063030E">
            <w:pPr>
              <w:spacing w:before="20" w:after="20"/>
            </w:pPr>
            <w:r w:rsidRPr="00692327">
              <w:t>Epidemiology</w:t>
            </w:r>
          </w:p>
        </w:tc>
      </w:tr>
      <w:tr w:rsidR="002F39F0" w:rsidRPr="00692327" w:rsidTr="0063030E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39F0" w:rsidRPr="00692327" w:rsidRDefault="002F39F0" w:rsidP="0063030E">
            <w:pPr>
              <w:spacing w:before="20" w:after="20"/>
            </w:pPr>
            <w:r w:rsidRPr="00692327">
              <w:t>University of California, Davis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9F0" w:rsidRPr="00692327" w:rsidRDefault="002F39F0" w:rsidP="0063030E">
            <w:pPr>
              <w:spacing w:before="20" w:after="20"/>
            </w:pPr>
            <w:r w:rsidRPr="00692327">
              <w:t>Residency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9F0" w:rsidRPr="00692327" w:rsidRDefault="002F39F0" w:rsidP="0063030E">
            <w:pPr>
              <w:spacing w:before="20" w:after="20"/>
            </w:pPr>
            <w:r w:rsidRPr="00692327">
              <w:t>2006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9F0" w:rsidRPr="00692327" w:rsidRDefault="002F39F0" w:rsidP="002F39F0">
            <w:pPr>
              <w:spacing w:before="20" w:after="20"/>
            </w:pPr>
            <w:r w:rsidRPr="00692327">
              <w:t>Dairy Prod. Med.</w:t>
            </w:r>
          </w:p>
        </w:tc>
      </w:tr>
      <w:tr w:rsidR="0063030E" w:rsidRPr="00692327" w:rsidTr="0063030E"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30E" w:rsidRPr="00692327" w:rsidRDefault="002F39F0" w:rsidP="002F39F0">
            <w:pPr>
              <w:spacing w:before="20" w:after="20"/>
            </w:pPr>
            <w:r w:rsidRPr="00692327">
              <w:t xml:space="preserve">Cornell </w:t>
            </w:r>
            <w:r w:rsidR="0063030E" w:rsidRPr="00692327">
              <w:t>University</w:t>
            </w:r>
            <w:r w:rsidRPr="00692327">
              <w:t>, Ithaca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30E" w:rsidRPr="00692327" w:rsidRDefault="00D817BB" w:rsidP="0063030E">
            <w:pPr>
              <w:spacing w:before="20" w:after="20"/>
            </w:pPr>
            <w:r>
              <w:t>PhD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30E" w:rsidRPr="00692327" w:rsidRDefault="002F39F0" w:rsidP="0063030E">
            <w:pPr>
              <w:spacing w:before="20" w:after="20"/>
            </w:pPr>
            <w:r w:rsidRPr="00692327">
              <w:t>2009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30E" w:rsidRPr="00692327" w:rsidRDefault="002F39F0" w:rsidP="0063030E">
            <w:pPr>
              <w:spacing w:before="20" w:after="20"/>
            </w:pPr>
            <w:proofErr w:type="spellStart"/>
            <w:r w:rsidRPr="00692327">
              <w:t>Reprod</w:t>
            </w:r>
            <w:proofErr w:type="spellEnd"/>
            <w:r w:rsidRPr="00692327">
              <w:t>. Physiology</w:t>
            </w:r>
          </w:p>
        </w:tc>
      </w:tr>
    </w:tbl>
    <w:p w:rsidR="0063030E" w:rsidRPr="00692327" w:rsidRDefault="0063030E" w:rsidP="0063030E">
      <w:pPr>
        <w:jc w:val="both"/>
        <w:rPr>
          <w:b/>
          <w:bCs/>
        </w:rPr>
      </w:pPr>
    </w:p>
    <w:p w:rsidR="0063030E" w:rsidRPr="00692327" w:rsidRDefault="0063030E" w:rsidP="0063030E">
      <w:pPr>
        <w:jc w:val="both"/>
        <w:rPr>
          <w:b/>
          <w:bCs/>
        </w:rPr>
      </w:pPr>
    </w:p>
    <w:p w:rsidR="0063030E" w:rsidRPr="00692327" w:rsidRDefault="0063030E" w:rsidP="0063030E">
      <w:pPr>
        <w:numPr>
          <w:ilvl w:val="0"/>
          <w:numId w:val="1"/>
        </w:numPr>
        <w:autoSpaceDE w:val="0"/>
        <w:autoSpaceDN w:val="0"/>
        <w:ind w:right="288"/>
        <w:jc w:val="both"/>
        <w:rPr>
          <w:b/>
          <w:bCs/>
        </w:rPr>
      </w:pPr>
      <w:r w:rsidRPr="00692327">
        <w:rPr>
          <w:b/>
          <w:bCs/>
        </w:rPr>
        <w:t>Positions and Honors</w:t>
      </w:r>
    </w:p>
    <w:p w:rsidR="0063030E" w:rsidRPr="00692327" w:rsidRDefault="0063030E" w:rsidP="0063030E">
      <w:pPr>
        <w:ind w:left="90" w:right="288"/>
        <w:jc w:val="both"/>
        <w:rPr>
          <w:b/>
          <w:bCs/>
        </w:rPr>
      </w:pPr>
    </w:p>
    <w:p w:rsidR="0063030E" w:rsidRPr="00692327" w:rsidRDefault="0063030E" w:rsidP="0063030E">
      <w:pPr>
        <w:ind w:left="90" w:right="288"/>
        <w:jc w:val="both"/>
        <w:rPr>
          <w:b/>
          <w:bCs/>
        </w:rPr>
      </w:pPr>
      <w:r w:rsidRPr="00692327">
        <w:rPr>
          <w:b/>
          <w:bCs/>
          <w:u w:val="single"/>
        </w:rPr>
        <w:t>Positions and Employment</w:t>
      </w:r>
    </w:p>
    <w:p w:rsidR="0063030E" w:rsidRPr="00692327" w:rsidRDefault="009E03AA" w:rsidP="0063030E">
      <w:pPr>
        <w:tabs>
          <w:tab w:val="left" w:pos="1440"/>
        </w:tabs>
        <w:ind w:left="1440" w:hanging="1350"/>
        <w:rPr>
          <w:lang w:val="en-CA"/>
        </w:rPr>
      </w:pPr>
      <w:proofErr w:type="gramStart"/>
      <w:r w:rsidRPr="00692327">
        <w:rPr>
          <w:lang w:val="en-CA"/>
        </w:rPr>
        <w:t>2002</w:t>
      </w:r>
      <w:r w:rsidR="0063030E" w:rsidRPr="00692327">
        <w:rPr>
          <w:lang w:val="en-CA"/>
        </w:rPr>
        <w:t>-</w:t>
      </w:r>
      <w:r w:rsidRPr="00692327">
        <w:rPr>
          <w:lang w:val="en-CA"/>
        </w:rPr>
        <w:t>2003</w:t>
      </w:r>
      <w:r w:rsidR="0063030E" w:rsidRPr="00692327">
        <w:rPr>
          <w:lang w:val="en-CA"/>
        </w:rPr>
        <w:t xml:space="preserve">. </w:t>
      </w:r>
      <w:r w:rsidRPr="00692327">
        <w:rPr>
          <w:lang w:val="en-CA"/>
        </w:rPr>
        <w:t>Post-graduate researcher</w:t>
      </w:r>
      <w:r w:rsidR="0063030E" w:rsidRPr="00692327">
        <w:rPr>
          <w:lang w:val="en-CA"/>
        </w:rPr>
        <w:t xml:space="preserve">, </w:t>
      </w:r>
      <w:r w:rsidR="00692327" w:rsidRPr="00692327">
        <w:rPr>
          <w:lang w:val="en-CA"/>
        </w:rPr>
        <w:t xml:space="preserve">School of Veterinary Medicine, </w:t>
      </w:r>
      <w:r w:rsidRPr="00692327">
        <w:rPr>
          <w:lang w:val="en-CA"/>
        </w:rPr>
        <w:t>UC-Davis, Tulare-CA</w:t>
      </w:r>
      <w:r w:rsidR="0063030E" w:rsidRPr="00692327">
        <w:rPr>
          <w:lang w:val="en-CA"/>
        </w:rPr>
        <w:t>.</w:t>
      </w:r>
      <w:proofErr w:type="gramEnd"/>
    </w:p>
    <w:p w:rsidR="009E03AA" w:rsidRPr="00692327" w:rsidRDefault="009E03AA" w:rsidP="0063030E">
      <w:pPr>
        <w:ind w:left="1440" w:hanging="1350"/>
        <w:rPr>
          <w:lang w:val="en-CA"/>
        </w:rPr>
      </w:pPr>
      <w:proofErr w:type="gramStart"/>
      <w:r w:rsidRPr="00692327">
        <w:rPr>
          <w:lang w:val="en-CA"/>
        </w:rPr>
        <w:t xml:space="preserve">2003-2006. Resident, Dairy Production Medicine, </w:t>
      </w:r>
      <w:r w:rsidR="00692327" w:rsidRPr="00692327">
        <w:rPr>
          <w:lang w:val="en-CA"/>
        </w:rPr>
        <w:t xml:space="preserve">School of Veterinary Medicine, </w:t>
      </w:r>
      <w:r w:rsidRPr="00692327">
        <w:rPr>
          <w:lang w:val="en-CA"/>
        </w:rPr>
        <w:t>UC-Davis, Tulare-CA.</w:t>
      </w:r>
      <w:proofErr w:type="gramEnd"/>
    </w:p>
    <w:p w:rsidR="009E03AA" w:rsidRPr="00692327" w:rsidRDefault="009E03AA" w:rsidP="0063030E">
      <w:pPr>
        <w:ind w:left="1440" w:hanging="1350"/>
        <w:rPr>
          <w:lang w:val="en-CA"/>
        </w:rPr>
      </w:pPr>
      <w:proofErr w:type="gramStart"/>
      <w:r w:rsidRPr="00692327">
        <w:rPr>
          <w:lang w:val="en-CA"/>
        </w:rPr>
        <w:t xml:space="preserve">2006-2009. PhD student, </w:t>
      </w:r>
      <w:r w:rsidR="00692327" w:rsidRPr="00692327">
        <w:rPr>
          <w:lang w:val="en-CA"/>
        </w:rPr>
        <w:t xml:space="preserve">School of Veterinary Medicine, </w:t>
      </w:r>
      <w:r w:rsidRPr="00692327">
        <w:rPr>
          <w:lang w:val="en-CA"/>
        </w:rPr>
        <w:t>Cornell University, Ithaca-NY.</w:t>
      </w:r>
      <w:proofErr w:type="gramEnd"/>
    </w:p>
    <w:p w:rsidR="009E03AA" w:rsidRPr="00692327" w:rsidRDefault="009E03AA" w:rsidP="0063030E">
      <w:pPr>
        <w:ind w:left="1440" w:hanging="1350"/>
        <w:rPr>
          <w:lang w:val="en-CA"/>
        </w:rPr>
      </w:pPr>
      <w:r w:rsidRPr="00692327">
        <w:rPr>
          <w:lang w:val="en-CA"/>
        </w:rPr>
        <w:t xml:space="preserve">2009-2010. Assistant Professor, </w:t>
      </w:r>
      <w:r w:rsidR="00692327" w:rsidRPr="00692327">
        <w:rPr>
          <w:lang w:val="en-CA"/>
        </w:rPr>
        <w:t xml:space="preserve">Large Animal Field Services section, Department of Veterinary Preventive Medicine, College of Veterinary Medicine, </w:t>
      </w:r>
      <w:proofErr w:type="gramStart"/>
      <w:r w:rsidRPr="00692327">
        <w:rPr>
          <w:lang w:val="en-CA"/>
        </w:rPr>
        <w:t>The</w:t>
      </w:r>
      <w:proofErr w:type="gramEnd"/>
      <w:r w:rsidRPr="00692327">
        <w:rPr>
          <w:lang w:val="en-CA"/>
        </w:rPr>
        <w:t xml:space="preserve"> Ohi</w:t>
      </w:r>
      <w:r w:rsidR="00692327" w:rsidRPr="00692327">
        <w:rPr>
          <w:lang w:val="en-CA"/>
        </w:rPr>
        <w:t>o State University.</w:t>
      </w:r>
    </w:p>
    <w:p w:rsidR="0063030E" w:rsidRPr="00692327" w:rsidRDefault="0063030E" w:rsidP="0063030E">
      <w:pPr>
        <w:ind w:left="1440" w:hanging="1350"/>
      </w:pPr>
      <w:r w:rsidRPr="00692327">
        <w:rPr>
          <w:lang w:val="en-CA"/>
        </w:rPr>
        <w:t>20</w:t>
      </w:r>
      <w:r w:rsidR="009E03AA" w:rsidRPr="00692327">
        <w:rPr>
          <w:lang w:val="en-CA"/>
        </w:rPr>
        <w:t>10</w:t>
      </w:r>
      <w:r w:rsidRPr="00692327">
        <w:rPr>
          <w:lang w:val="en-CA"/>
        </w:rPr>
        <w:t>- Present</w:t>
      </w:r>
      <w:r w:rsidR="009E03AA" w:rsidRPr="00692327">
        <w:rPr>
          <w:lang w:val="en-CA"/>
        </w:rPr>
        <w:t xml:space="preserve">. Assistant </w:t>
      </w:r>
      <w:r w:rsidRPr="00692327">
        <w:rPr>
          <w:lang w:val="en-CA"/>
        </w:rPr>
        <w:t>Professor, Food Animal Reproduction and Medicine Section, Department of Large Animal Clinical Science, College</w:t>
      </w:r>
      <w:r w:rsidRPr="00692327">
        <w:t xml:space="preserve"> </w:t>
      </w:r>
      <w:r w:rsidRPr="00692327">
        <w:rPr>
          <w:lang w:val="en-CA"/>
        </w:rPr>
        <w:t>of Veterinary Medicine, University of Florida</w:t>
      </w:r>
      <w:r w:rsidRPr="00692327">
        <w:t xml:space="preserve">. </w:t>
      </w:r>
    </w:p>
    <w:p w:rsidR="0063030E" w:rsidRPr="00692327" w:rsidRDefault="0063030E" w:rsidP="0063030E">
      <w:pPr>
        <w:tabs>
          <w:tab w:val="left" w:pos="1620"/>
        </w:tabs>
        <w:ind w:left="1627" w:hanging="1627"/>
        <w:rPr>
          <w:lang w:val="en-CA"/>
        </w:rPr>
      </w:pPr>
    </w:p>
    <w:p w:rsidR="0063030E" w:rsidRPr="00692327" w:rsidRDefault="0063030E" w:rsidP="0063030E">
      <w:pPr>
        <w:tabs>
          <w:tab w:val="left" w:pos="1620"/>
        </w:tabs>
        <w:ind w:left="1627" w:hanging="1537"/>
        <w:rPr>
          <w:b/>
          <w:bCs/>
          <w:u w:val="single"/>
          <w:lang w:val="en-CA"/>
        </w:rPr>
      </w:pPr>
      <w:r w:rsidRPr="00692327">
        <w:rPr>
          <w:b/>
          <w:bCs/>
          <w:u w:val="single"/>
          <w:lang w:val="en-CA"/>
        </w:rPr>
        <w:t>Other Experience and Professional Memberships</w:t>
      </w:r>
    </w:p>
    <w:p w:rsidR="0063030E" w:rsidRPr="00692327" w:rsidRDefault="00692327" w:rsidP="0063030E">
      <w:pPr>
        <w:adjustRightInd w:val="0"/>
        <w:ind w:left="90"/>
      </w:pPr>
      <w:r w:rsidRPr="00692327">
        <w:t>2002</w:t>
      </w:r>
      <w:r w:rsidR="0063030E" w:rsidRPr="00692327">
        <w:t xml:space="preserve"> </w:t>
      </w:r>
      <w:r>
        <w:t>–</w:t>
      </w:r>
      <w:r w:rsidR="0063030E" w:rsidRPr="00692327">
        <w:t xml:space="preserve"> </w:t>
      </w:r>
      <w:r w:rsidRPr="00692327">
        <w:t>Present</w:t>
      </w:r>
      <w:r>
        <w:t>.</w:t>
      </w:r>
      <w:r w:rsidR="0063030E" w:rsidRPr="00692327">
        <w:t xml:space="preserve">  </w:t>
      </w:r>
      <w:proofErr w:type="gramStart"/>
      <w:r w:rsidR="003504B9">
        <w:t xml:space="preserve">Member, </w:t>
      </w:r>
      <w:r w:rsidR="0063030E" w:rsidRPr="00692327">
        <w:t>American Dairy Science Association.</w:t>
      </w:r>
      <w:proofErr w:type="gramEnd"/>
    </w:p>
    <w:p w:rsidR="0063030E" w:rsidRPr="00692327" w:rsidRDefault="0063030E" w:rsidP="0063030E">
      <w:pPr>
        <w:adjustRightInd w:val="0"/>
        <w:ind w:left="90"/>
      </w:pPr>
    </w:p>
    <w:p w:rsidR="0063030E" w:rsidRPr="00692327" w:rsidRDefault="0063030E" w:rsidP="0063030E">
      <w:pPr>
        <w:tabs>
          <w:tab w:val="left" w:pos="1620"/>
        </w:tabs>
        <w:ind w:left="1627" w:hanging="1537"/>
        <w:rPr>
          <w:b/>
          <w:bCs/>
          <w:u w:val="single"/>
          <w:lang w:val="en-CA"/>
        </w:rPr>
      </w:pPr>
      <w:r w:rsidRPr="00692327">
        <w:rPr>
          <w:b/>
          <w:bCs/>
          <w:u w:val="single"/>
          <w:lang w:val="en-CA"/>
        </w:rPr>
        <w:t>Awards, Honors:</w:t>
      </w:r>
    </w:p>
    <w:p w:rsidR="0063030E" w:rsidRPr="00692327" w:rsidRDefault="0063030E" w:rsidP="0063030E">
      <w:pPr>
        <w:jc w:val="both"/>
      </w:pPr>
      <w:r w:rsidRPr="00692327">
        <w:t xml:space="preserve">  2004: </w:t>
      </w:r>
      <w:r w:rsidR="00692327" w:rsidRPr="00692327">
        <w:t xml:space="preserve">George </w:t>
      </w:r>
      <w:proofErr w:type="spellStart"/>
      <w:r w:rsidR="00692327" w:rsidRPr="00692327">
        <w:t>Stabenfeldt</w:t>
      </w:r>
      <w:proofErr w:type="spellEnd"/>
      <w:r w:rsidR="00692327" w:rsidRPr="00692327">
        <w:t xml:space="preserve"> Travel Award, UC-Davis</w:t>
      </w:r>
    </w:p>
    <w:p w:rsidR="0063030E" w:rsidRPr="00692327" w:rsidRDefault="0063030E" w:rsidP="0063030E">
      <w:pPr>
        <w:jc w:val="both"/>
      </w:pPr>
      <w:r w:rsidRPr="00692327">
        <w:rPr>
          <w:b/>
          <w:bCs/>
        </w:rPr>
        <w:t xml:space="preserve">  </w:t>
      </w:r>
      <w:r w:rsidRPr="00692327">
        <w:t>200</w:t>
      </w:r>
      <w:r w:rsidR="00692327" w:rsidRPr="00692327">
        <w:t>4</w:t>
      </w:r>
      <w:r w:rsidRPr="00692327">
        <w:t xml:space="preserve">: </w:t>
      </w:r>
      <w:r w:rsidR="00692327" w:rsidRPr="00692327">
        <w:t xml:space="preserve">MPVM Research Project </w:t>
      </w:r>
      <w:r w:rsidR="003504B9">
        <w:t>Award</w:t>
      </w:r>
      <w:r w:rsidR="00692327" w:rsidRPr="00692327">
        <w:t xml:space="preserve">, UC-Davis </w:t>
      </w:r>
    </w:p>
    <w:p w:rsidR="009D658E" w:rsidRPr="00692327" w:rsidRDefault="0063030E" w:rsidP="00692327">
      <w:pPr>
        <w:ind w:left="720" w:hanging="720"/>
        <w:jc w:val="both"/>
      </w:pPr>
      <w:r w:rsidRPr="00692327">
        <w:t xml:space="preserve">  </w:t>
      </w:r>
    </w:p>
    <w:p w:rsidR="0063030E" w:rsidRPr="00692327" w:rsidRDefault="0063030E" w:rsidP="0063030E">
      <w:pPr>
        <w:ind w:left="90" w:right="288"/>
        <w:jc w:val="both"/>
      </w:pPr>
      <w:r w:rsidRPr="00692327">
        <w:br w:type="page"/>
      </w:r>
    </w:p>
    <w:p w:rsidR="0063030E" w:rsidRPr="00692327" w:rsidRDefault="00692327" w:rsidP="0063030E">
      <w:pPr>
        <w:numPr>
          <w:ilvl w:val="0"/>
          <w:numId w:val="1"/>
        </w:numPr>
        <w:autoSpaceDE w:val="0"/>
        <w:autoSpaceDN w:val="0"/>
        <w:ind w:right="288"/>
        <w:jc w:val="both"/>
      </w:pPr>
      <w:r>
        <w:rPr>
          <w:b/>
          <w:bCs/>
        </w:rPr>
        <w:lastRenderedPageBreak/>
        <w:t>P</w:t>
      </w:r>
      <w:r w:rsidR="0063030E" w:rsidRPr="00692327">
        <w:rPr>
          <w:b/>
          <w:bCs/>
        </w:rPr>
        <w:t>eer-reviewed publications</w:t>
      </w:r>
      <w:r w:rsidR="0063030E" w:rsidRPr="00692327">
        <w:t xml:space="preserve"> </w:t>
      </w:r>
    </w:p>
    <w:p w:rsidR="0034060F" w:rsidRDefault="0034060F" w:rsidP="0034060F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</w:pPr>
      <w:r w:rsidRPr="0034060F">
        <w:t xml:space="preserve">Galvão, K.N., M.J.B. Felippe, S.B. </w:t>
      </w:r>
      <w:proofErr w:type="spellStart"/>
      <w:r w:rsidRPr="0034060F">
        <w:t>Brittin</w:t>
      </w:r>
      <w:proofErr w:type="spellEnd"/>
      <w:r w:rsidRPr="0034060F">
        <w:t xml:space="preserve">, R. </w:t>
      </w:r>
      <w:proofErr w:type="spellStart"/>
      <w:r w:rsidRPr="0034060F">
        <w:t>Sper</w:t>
      </w:r>
      <w:proofErr w:type="spellEnd"/>
      <w:r w:rsidRPr="0034060F">
        <w:t xml:space="preserve">, M. </w:t>
      </w:r>
      <w:proofErr w:type="spellStart"/>
      <w:r w:rsidRPr="0034060F">
        <w:t>Fraga</w:t>
      </w:r>
      <w:proofErr w:type="spellEnd"/>
      <w:r w:rsidRPr="0034060F">
        <w:t xml:space="preserve">, J.S. Galvão, L. </w:t>
      </w:r>
      <w:proofErr w:type="spellStart"/>
      <w:r w:rsidRPr="0034060F">
        <w:t>Caixeta</w:t>
      </w:r>
      <w:proofErr w:type="spellEnd"/>
      <w:r w:rsidRPr="0034060F">
        <w:t xml:space="preserve">, C.L. Guard, A. Ricci, and R.O. Gilbert. 2011. Evaluation of cytokine expression by blood </w:t>
      </w:r>
      <w:proofErr w:type="spellStart"/>
      <w:r w:rsidRPr="0034060F">
        <w:t>monocytes</w:t>
      </w:r>
      <w:proofErr w:type="spellEnd"/>
      <w:r w:rsidRPr="0034060F">
        <w:t xml:space="preserve"> of lactating Holstein cows with or without postpartum uterine disease. Theriogenology. </w:t>
      </w:r>
      <w:r w:rsidR="00E06512" w:rsidRPr="00CF1DA2">
        <w:t>[</w:t>
      </w:r>
      <w:proofErr w:type="spellStart"/>
      <w:r w:rsidR="00E06512" w:rsidRPr="00CF1DA2">
        <w:t>Epub</w:t>
      </w:r>
      <w:proofErr w:type="spellEnd"/>
      <w:r w:rsidR="00E06512" w:rsidRPr="00CF1DA2">
        <w:t xml:space="preserve"> ahead of print]</w:t>
      </w:r>
      <w:r w:rsidR="00E06512" w:rsidRPr="00CF1DA2">
        <w:t xml:space="preserve"> </w:t>
      </w:r>
      <w:r w:rsidR="00E06512" w:rsidRPr="00CF1DA2">
        <w:t>PMID: 21924475</w:t>
      </w:r>
      <w:r w:rsidR="00E06512">
        <w:t>.</w:t>
      </w:r>
    </w:p>
    <w:p w:rsidR="0034060F" w:rsidRDefault="0034060F" w:rsidP="0034060F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</w:pPr>
      <w:r>
        <w:t>Schuenemann, G.M., I. Nieto, S. Bas, K.N. Galvao, and J. Workman. 2011. Assessment of Calving Progress and Reference Times for Obstetric Intervention during Dystocia in Holstein Dairy Cows. J. Dairy Sci. 94. (In Press).</w:t>
      </w:r>
    </w:p>
    <w:p w:rsidR="0034060F" w:rsidRDefault="0034060F" w:rsidP="0034060F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</w:pPr>
      <w:r w:rsidRPr="0034060F">
        <w:rPr>
          <w:lang w:val="pt-BR"/>
        </w:rPr>
        <w:t xml:space="preserve">Galvão, K.N., N.R. Santos, J.S. Galvão, and R.O. Gilbert. </w:t>
      </w:r>
      <w:r>
        <w:t>2011. Association between endometritis and endometrial cytokine expression in postpartum Holstein cows. Theriogenology. 76(2):290-299.</w:t>
      </w:r>
    </w:p>
    <w:p w:rsidR="0034060F" w:rsidRPr="0034060F" w:rsidRDefault="0034060F" w:rsidP="0034060F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>
        <w:t xml:space="preserve">Galvão, K. N., G.M. </w:t>
      </w:r>
      <w:proofErr w:type="spellStart"/>
      <w:r>
        <w:t>Pighetti</w:t>
      </w:r>
      <w:proofErr w:type="spellEnd"/>
      <w:r>
        <w:t xml:space="preserve">, S.H. Cheong, D.V. Nydam, and R.O. Gilbert. 2011. Association between CXCR1 polymorphism and disease incidence, reproductive performance, and milk production in Holstein cows. J. Dairy Sci. 94:2083-2091. 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</w:pPr>
      <w:r w:rsidRPr="00692327">
        <w:t>Cheong, S.H., D.V. Nydam, K.N. Galvão, B. M. Crosier, and R. O. Gilbert. 2010. Cow and Herd Level Risk Factors for Subclinical Endometritis in Lactating Holstein Cows. J. Dairy Sci. 94:762-770.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t xml:space="preserve">Galvão, K.N., S.B. </w:t>
      </w:r>
      <w:proofErr w:type="spellStart"/>
      <w:r w:rsidRPr="00692327">
        <w:t>Brittin</w:t>
      </w:r>
      <w:proofErr w:type="spellEnd"/>
      <w:r w:rsidRPr="00692327">
        <w:t>, L.</w:t>
      </w:r>
      <w:r w:rsidR="00192353">
        <w:t xml:space="preserve">S. </w:t>
      </w:r>
      <w:proofErr w:type="spellStart"/>
      <w:r w:rsidRPr="00692327">
        <w:t>Caixeta</w:t>
      </w:r>
      <w:proofErr w:type="spellEnd"/>
      <w:r w:rsidRPr="00692327">
        <w:t xml:space="preserve">, R. </w:t>
      </w:r>
      <w:proofErr w:type="spellStart"/>
      <w:r w:rsidRPr="00692327">
        <w:t>Sper</w:t>
      </w:r>
      <w:proofErr w:type="spellEnd"/>
      <w:r w:rsidRPr="00692327">
        <w:t xml:space="preserve">, M. </w:t>
      </w:r>
      <w:proofErr w:type="spellStart"/>
      <w:r w:rsidRPr="00692327">
        <w:t>Fraga</w:t>
      </w:r>
      <w:proofErr w:type="spellEnd"/>
      <w:r w:rsidRPr="00692327">
        <w:t xml:space="preserve">, A. Ricci, W.R. Butler, and R.O. Gilbert. 2010. Association between uterine disease and indicators of </w:t>
      </w:r>
      <w:proofErr w:type="spellStart"/>
      <w:r w:rsidRPr="00692327">
        <w:t>neutrophil</w:t>
      </w:r>
      <w:proofErr w:type="spellEnd"/>
      <w:r w:rsidRPr="00692327">
        <w:t xml:space="preserve"> and systemic energy status in lactating Holstein cows. </w:t>
      </w:r>
      <w:r w:rsidRPr="00692327">
        <w:rPr>
          <w:lang w:val="pt-BR"/>
        </w:rPr>
        <w:t>J. Dairy Sci. 93: 2926-2937.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rPr>
          <w:lang w:val="pt-BR"/>
        </w:rPr>
        <w:t xml:space="preserve">McArt J.A., L.S. Caixeta, V.S. Machado, C.L. Guard, K.N. Galvao, O.G. Sá Filho, and R. C. Bicalho. </w:t>
      </w:r>
      <w:r w:rsidRPr="00692327">
        <w:t xml:space="preserve">2010. </w:t>
      </w:r>
      <w:proofErr w:type="spellStart"/>
      <w:r w:rsidRPr="00692327">
        <w:t>Ovsynch</w:t>
      </w:r>
      <w:proofErr w:type="spellEnd"/>
      <w:r w:rsidRPr="00692327">
        <w:t xml:space="preserve"> vs. </w:t>
      </w:r>
      <w:proofErr w:type="spellStart"/>
      <w:r w:rsidRPr="00692327">
        <w:t>Ultrasynch</w:t>
      </w:r>
      <w:proofErr w:type="spellEnd"/>
      <w:r w:rsidRPr="00692327">
        <w:t xml:space="preserve">: Reproductive efficacy of a dairy cattle synchronization protocol incorporating corpus </w:t>
      </w:r>
      <w:proofErr w:type="spellStart"/>
      <w:r w:rsidRPr="00692327">
        <w:t>luteum</w:t>
      </w:r>
      <w:proofErr w:type="spellEnd"/>
      <w:r w:rsidRPr="00692327">
        <w:t xml:space="preserve"> function. </w:t>
      </w:r>
      <w:r w:rsidRPr="00692327">
        <w:rPr>
          <w:lang w:val="pt-BR"/>
        </w:rPr>
        <w:t>J. Dairy Sci. 93:2525-2532.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t xml:space="preserve">Galvão K.N., and J.E.P Santos. 2010. Factors Affecting Synchronization and Conception Rate after the </w:t>
      </w:r>
      <w:proofErr w:type="spellStart"/>
      <w:r w:rsidRPr="00692327">
        <w:t>Ovsynch</w:t>
      </w:r>
      <w:proofErr w:type="spellEnd"/>
      <w:r w:rsidRPr="00692327">
        <w:t xml:space="preserve"> Protocol in Lactating Holstein Cows. </w:t>
      </w:r>
      <w:r w:rsidRPr="00692327">
        <w:rPr>
          <w:lang w:val="pt-BR"/>
        </w:rPr>
        <w:t xml:space="preserve">Reprod. Domest. Anim. 45:439-446. 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rPr>
          <w:lang w:val="pt-BR"/>
        </w:rPr>
        <w:t xml:space="preserve">Juchem, S.O., R.L.A. Cerri, M. Villaseňor,  K.N. Galvão, R.G.S. Bruno, H.M. Rutigliano, E.J. DePeters, F.T. Silvestre, W.W. Thatcher, and and J.E.P. Santos. </w:t>
      </w:r>
      <w:r w:rsidRPr="00692327">
        <w:t xml:space="preserve">2010. Supplementation with calcium salts of </w:t>
      </w:r>
      <w:proofErr w:type="spellStart"/>
      <w:r w:rsidRPr="00692327">
        <w:t>linoleic</w:t>
      </w:r>
      <w:proofErr w:type="spellEnd"/>
      <w:r w:rsidRPr="00692327">
        <w:t xml:space="preserve"> and trans-</w:t>
      </w:r>
      <w:proofErr w:type="spellStart"/>
      <w:r w:rsidRPr="00692327">
        <w:t>octadecenoic</w:t>
      </w:r>
      <w:proofErr w:type="spellEnd"/>
      <w:r w:rsidRPr="00692327">
        <w:t xml:space="preserve"> acids improves fertility of lactating dairy cows. </w:t>
      </w:r>
      <w:r w:rsidRPr="00692327">
        <w:rPr>
          <w:lang w:val="pt-BR"/>
        </w:rPr>
        <w:t>Reprod. Domest. Anim. 45:55-62.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t xml:space="preserve">Galvão, K.N., W.R. Butler, S.B. </w:t>
      </w:r>
      <w:proofErr w:type="spellStart"/>
      <w:r w:rsidRPr="00692327">
        <w:t>Brittin</w:t>
      </w:r>
      <w:proofErr w:type="spellEnd"/>
      <w:r w:rsidRPr="00692327">
        <w:t xml:space="preserve">, M. </w:t>
      </w:r>
      <w:proofErr w:type="spellStart"/>
      <w:r w:rsidRPr="00692327">
        <w:t>Frajblat</w:t>
      </w:r>
      <w:proofErr w:type="spellEnd"/>
      <w:r w:rsidRPr="00692327">
        <w:t xml:space="preserve">, C.L. Guard, and R. O. Gilbert. 2009. Effect of early ovulation on uterine health and fertility of dairy cows. </w:t>
      </w:r>
      <w:r w:rsidRPr="00692327">
        <w:rPr>
          <w:lang w:val="pt-BR"/>
        </w:rPr>
        <w:t>Reprod. Dom. Anim. (DOI: 10.1111/j.1439-0531.2009.01517).</w:t>
      </w:r>
    </w:p>
    <w:p w:rsidR="0030436D" w:rsidRPr="0030436D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</w:pPr>
      <w:r w:rsidRPr="00692327">
        <w:t xml:space="preserve">Galvão K.N., and J.A. </w:t>
      </w:r>
      <w:proofErr w:type="spellStart"/>
      <w:r w:rsidRPr="00692327">
        <w:t>Angelos</w:t>
      </w:r>
      <w:proofErr w:type="spellEnd"/>
      <w:r w:rsidRPr="00692327">
        <w:t xml:space="preserve">. 2010. Ulcerative </w:t>
      </w:r>
      <w:proofErr w:type="spellStart"/>
      <w:r w:rsidRPr="00692327">
        <w:t>blepharitis</w:t>
      </w:r>
      <w:proofErr w:type="spellEnd"/>
      <w:r w:rsidRPr="00692327">
        <w:t xml:space="preserve"> and conjunctivitis in adult dairy cows and association with </w:t>
      </w:r>
      <w:proofErr w:type="spellStart"/>
      <w:r w:rsidRPr="00692327">
        <w:t>Moraxella</w:t>
      </w:r>
      <w:proofErr w:type="spellEnd"/>
      <w:r w:rsidRPr="00692327">
        <w:t xml:space="preserve"> </w:t>
      </w:r>
      <w:proofErr w:type="spellStart"/>
      <w:r w:rsidRPr="00692327">
        <w:t>bovoculli</w:t>
      </w:r>
      <w:proofErr w:type="spellEnd"/>
      <w:r w:rsidRPr="00692327">
        <w:t xml:space="preserve">. </w:t>
      </w:r>
      <w:r w:rsidRPr="0030436D">
        <w:rPr>
          <w:lang w:val="pt-BR"/>
        </w:rPr>
        <w:t xml:space="preserve">Can. Vet. J. 51:400–402. 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</w:pPr>
      <w:r w:rsidRPr="00692327">
        <w:t xml:space="preserve">Galvão, K.N., W.R. Butler, S.B. </w:t>
      </w:r>
      <w:proofErr w:type="spellStart"/>
      <w:r w:rsidRPr="00692327">
        <w:t>Brittin</w:t>
      </w:r>
      <w:proofErr w:type="spellEnd"/>
      <w:r w:rsidRPr="00692327">
        <w:t xml:space="preserve">, M. </w:t>
      </w:r>
      <w:proofErr w:type="spellStart"/>
      <w:r w:rsidRPr="00692327">
        <w:t>Frajblat</w:t>
      </w:r>
      <w:proofErr w:type="spellEnd"/>
      <w:r w:rsidRPr="00692327">
        <w:t>, C.L. Guard, and R. O. Gilbert. 2009. Effect of prostaglandin F2</w:t>
      </w:r>
      <w:r w:rsidRPr="0030436D">
        <w:rPr>
          <w:lang w:val="pt-BR"/>
        </w:rPr>
        <w:t>α</w:t>
      </w:r>
      <w:r w:rsidRPr="00692327">
        <w:t xml:space="preserve"> on Subclinical Endometritis and Fertility in Dairy Cows. J. Dairy Sci. 92:4906-4913.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proofErr w:type="spellStart"/>
      <w:r w:rsidRPr="00692327">
        <w:t>Cerri</w:t>
      </w:r>
      <w:proofErr w:type="spellEnd"/>
      <w:r w:rsidRPr="00692327">
        <w:t xml:space="preserve">, R.L.A., S.O. </w:t>
      </w:r>
      <w:proofErr w:type="spellStart"/>
      <w:r w:rsidRPr="00692327">
        <w:t>Juchem</w:t>
      </w:r>
      <w:proofErr w:type="spellEnd"/>
      <w:r w:rsidRPr="00692327">
        <w:t xml:space="preserve">, R.C. Chebel, H.M. </w:t>
      </w:r>
      <w:proofErr w:type="spellStart"/>
      <w:r w:rsidRPr="00692327">
        <w:t>Rutigliano</w:t>
      </w:r>
      <w:proofErr w:type="spellEnd"/>
      <w:r w:rsidRPr="00692327">
        <w:t xml:space="preserve">, R.G.S. Bruno, K.N. Galvão, W.W. Thatcher, and J.E.P. Santos. 2009. Effect of fat source differing in fatty acid profile on metabolic parameters, fertilization and embryo quality in high-producing dairy cows. </w:t>
      </w:r>
      <w:r w:rsidRPr="00692327">
        <w:rPr>
          <w:lang w:val="pt-BR"/>
        </w:rPr>
        <w:t>J. Dairy Sci. 92:1520-1531.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rPr>
          <w:lang w:val="pt-BR"/>
        </w:rPr>
        <w:lastRenderedPageBreak/>
        <w:t xml:space="preserve">Galvão K.N.1, L.F. Greco, J.M. Vilela, M.F. Sá Filho, and J.E.P. Santos. </w:t>
      </w:r>
      <w:r w:rsidRPr="00692327">
        <w:t xml:space="preserve">2009. Effect of intrauterine infusion of ceftiofur on uterine health and fertility in dairy cows. </w:t>
      </w:r>
      <w:r w:rsidRPr="00692327">
        <w:rPr>
          <w:lang w:val="pt-BR"/>
        </w:rPr>
        <w:t>J. Dairy Sci. 92:1532-1542.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rPr>
          <w:lang w:val="pt-BR"/>
        </w:rPr>
        <w:t>Villaseňor, M., A.C. Coscioni,  K.N. Galvão, R.C. Chebel, and J.E.P. Santos. 2008. Gossypol disrupts embryo development in heifers. J. Dairy Sci. 91:3015-3024.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rPr>
          <w:lang w:val="pt-BR"/>
        </w:rPr>
        <w:t xml:space="preserve">Bicalho R.C., K.N. Galvão, Guard C.L., Santos J.E.P. 2008. </w:t>
      </w:r>
      <w:r w:rsidRPr="00692327">
        <w:t xml:space="preserve">Optimizing the accuracy of detecting a functional corpus </w:t>
      </w:r>
      <w:proofErr w:type="spellStart"/>
      <w:r w:rsidRPr="00692327">
        <w:t>luteum</w:t>
      </w:r>
      <w:proofErr w:type="spellEnd"/>
      <w:r w:rsidRPr="00692327">
        <w:t xml:space="preserve"> in dairy cows. </w:t>
      </w:r>
      <w:r w:rsidRPr="00692327">
        <w:rPr>
          <w:lang w:val="pt-BR"/>
        </w:rPr>
        <w:t>Theriogenology. 70:199-207.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t xml:space="preserve">Bicalho R.C., Galvão K.N., </w:t>
      </w:r>
      <w:proofErr w:type="spellStart"/>
      <w:r w:rsidRPr="00692327">
        <w:t>Warnick</w:t>
      </w:r>
      <w:proofErr w:type="spellEnd"/>
      <w:r w:rsidRPr="00692327">
        <w:t xml:space="preserve"> L.D., Guard C.L. 2008. Stillbirth parturition reduces milk production in Holstein cows. </w:t>
      </w:r>
      <w:r w:rsidRPr="00692327">
        <w:rPr>
          <w:lang w:val="pt-BR"/>
        </w:rPr>
        <w:t>Prev. Vet. Med. 84:112-120.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rPr>
          <w:lang w:val="pt-BR"/>
        </w:rPr>
        <w:t xml:space="preserve">Galvão, K.N., M.F. Sa Filho, J.E.P. Santos. </w:t>
      </w:r>
      <w:r w:rsidRPr="00692327">
        <w:t xml:space="preserve">2007. Reducing the interval from presynchronization to initiation of timed AI improves fertility in dairy cows. </w:t>
      </w:r>
      <w:r w:rsidRPr="00692327">
        <w:rPr>
          <w:lang w:val="pt-BR"/>
        </w:rPr>
        <w:t>J. Dairy Sci. 90:4112-4218.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rPr>
          <w:lang w:val="pt-BR"/>
        </w:rPr>
        <w:t xml:space="preserve">Galvão, K.N., J.E.P. Santos, R.L.A. Cerri, R.C. Chebel, H.M. Rutigliano, R.G. Bruno, and R.C. Bicalho. </w:t>
      </w:r>
      <w:r w:rsidRPr="00692327">
        <w:t xml:space="preserve">2007. Evaluation of methods of resynchronization for insemination in cows of unknown pregnancy status. </w:t>
      </w:r>
      <w:r w:rsidRPr="00692327">
        <w:rPr>
          <w:lang w:val="pt-BR"/>
        </w:rPr>
        <w:t>J. Dairy Sci. 90:4240-4252.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t xml:space="preserve">Bicalho, R.C., S.H. Cheong, K.N. Galvão, L.D. </w:t>
      </w:r>
      <w:proofErr w:type="spellStart"/>
      <w:r w:rsidRPr="00692327">
        <w:t>Warnick</w:t>
      </w:r>
      <w:proofErr w:type="spellEnd"/>
      <w:r w:rsidRPr="00692327">
        <w:t xml:space="preserve">, and C.L. Guard. 2007. Effect of twin birth calvings on milk production, reproductive performance, and survival of lactating cows. </w:t>
      </w:r>
      <w:r w:rsidRPr="00692327">
        <w:rPr>
          <w:lang w:val="pt-BR"/>
        </w:rPr>
        <w:t>JAVMA. 231:1390-1397.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</w:pPr>
      <w:r w:rsidRPr="00692327">
        <w:t xml:space="preserve">Bicalho, R.C, K.N. Galvão, S.H. Cheong, R.O. Gilbert, L.D. </w:t>
      </w:r>
      <w:proofErr w:type="spellStart"/>
      <w:r w:rsidRPr="00692327">
        <w:t>Warnick</w:t>
      </w:r>
      <w:proofErr w:type="spellEnd"/>
      <w:r w:rsidRPr="00692327">
        <w:t>, and C.L. Guard. 2007. Effect of Stillbirths on Dam Survival and Reproduction Performance in Holstein Dairy Cows. J. Dairy Sci. 90: 2797-2803.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proofErr w:type="spellStart"/>
      <w:r w:rsidRPr="00692327">
        <w:t>Juchem</w:t>
      </w:r>
      <w:proofErr w:type="spellEnd"/>
      <w:r w:rsidRPr="00692327">
        <w:t xml:space="preserve">, S.O., J.E.P. Santos, R.L. </w:t>
      </w:r>
      <w:proofErr w:type="spellStart"/>
      <w:r w:rsidRPr="00692327">
        <w:t>Cerri</w:t>
      </w:r>
      <w:proofErr w:type="spellEnd"/>
      <w:r w:rsidRPr="00692327">
        <w:t xml:space="preserve">, R.C. Chebel, K.N. Galvão, R. Bruno, E.J. </w:t>
      </w:r>
      <w:proofErr w:type="spellStart"/>
      <w:r w:rsidRPr="00692327">
        <w:t>DePeters</w:t>
      </w:r>
      <w:proofErr w:type="spellEnd"/>
      <w:r w:rsidRPr="00692327">
        <w:t xml:space="preserve">, T. Scott, W.W. Thatcher, D. </w:t>
      </w:r>
      <w:proofErr w:type="spellStart"/>
      <w:r w:rsidRPr="00692327">
        <w:t>Luchini</w:t>
      </w:r>
      <w:proofErr w:type="spellEnd"/>
      <w:r w:rsidRPr="00692327">
        <w:t xml:space="preserve">. 2007. Effect of calcium salts of fish and palm oils on </w:t>
      </w:r>
      <w:proofErr w:type="spellStart"/>
      <w:r w:rsidRPr="00692327">
        <w:t>lactational</w:t>
      </w:r>
      <w:proofErr w:type="spellEnd"/>
      <w:r w:rsidRPr="00692327">
        <w:t xml:space="preserve"> performance of Holstein cows. </w:t>
      </w:r>
      <w:r w:rsidRPr="00692327">
        <w:rPr>
          <w:lang w:val="pt-BR"/>
        </w:rPr>
        <w:t xml:space="preserve">Anim. Feed Sci. Technol. 140:18-38. 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rPr>
          <w:lang w:val="pt-BR"/>
        </w:rPr>
        <w:t xml:space="preserve">Galvão, K.N., J.E.P. Santos, A.C. Coscioni, S.O. Juchem, R.C. Chebel, W.M. Sischo, and M. Villaseňor. </w:t>
      </w:r>
      <w:r w:rsidRPr="00692327">
        <w:t xml:space="preserve">2006. Embryo survival from gossypol-fed heifers after transfer to lactating cows treated with human chorionic gonadotropin. </w:t>
      </w:r>
      <w:r w:rsidRPr="00692327">
        <w:rPr>
          <w:lang w:val="pt-BR"/>
        </w:rPr>
        <w:t>J. Dairy Sci. 89: 2056-2064.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rPr>
          <w:lang w:val="pt-BR"/>
        </w:rPr>
        <w:t xml:space="preserve">Galvão, K.N., J.E.P. Santos, A.C. Coscioni, M. Villaseňor, W.M. Sischo, and A.C.B. Berge. </w:t>
      </w:r>
      <w:r w:rsidRPr="00692327">
        <w:t xml:space="preserve">2005. Effect of feeding live yeast products to calves with failure of passive transfer on performance and patterns of antibiotic resistance in fecal Escherichia coli. </w:t>
      </w:r>
      <w:r w:rsidRPr="00692327">
        <w:rPr>
          <w:lang w:val="pt-BR"/>
        </w:rPr>
        <w:t>Reprod. Nutr. Dev. 45;427-440.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</w:pPr>
      <w:r w:rsidRPr="00692327">
        <w:rPr>
          <w:lang w:val="pt-BR"/>
        </w:rPr>
        <w:t xml:space="preserve">Galvão, K.N., J.E.P. Santos, S.O. Juchem, R.L.A. Cerri, A.C. Coscioni, and M. Villaseňor. </w:t>
      </w:r>
      <w:r w:rsidRPr="00692327">
        <w:t xml:space="preserve">2004. Effect of addition of a progesterone </w:t>
      </w:r>
      <w:proofErr w:type="spellStart"/>
      <w:r w:rsidRPr="00692327">
        <w:t>intravaginal</w:t>
      </w:r>
      <w:proofErr w:type="spellEnd"/>
      <w:r w:rsidRPr="00692327">
        <w:t xml:space="preserve"> Insert to a timed insemination protocol using </w:t>
      </w:r>
      <w:proofErr w:type="spellStart"/>
      <w:r w:rsidRPr="00692327">
        <w:t>estradiol</w:t>
      </w:r>
      <w:proofErr w:type="spellEnd"/>
      <w:r w:rsidRPr="00692327">
        <w:t xml:space="preserve"> </w:t>
      </w:r>
      <w:proofErr w:type="spellStart"/>
      <w:r w:rsidRPr="00692327">
        <w:t>cypionate</w:t>
      </w:r>
      <w:proofErr w:type="spellEnd"/>
      <w:r w:rsidRPr="00692327">
        <w:t xml:space="preserve"> on ovulation rate, pregnancy rate and pregnancy loss in Lactating Dairy Cows. J. Anim. Sci. 82:3508-3517.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proofErr w:type="spellStart"/>
      <w:r w:rsidRPr="00692327">
        <w:t>Cerri</w:t>
      </w:r>
      <w:proofErr w:type="spellEnd"/>
      <w:r w:rsidRPr="00692327">
        <w:t xml:space="preserve">, R.L.A., J.E.P. Santos, S.O. </w:t>
      </w:r>
      <w:proofErr w:type="spellStart"/>
      <w:r w:rsidRPr="00692327">
        <w:t>Juchem</w:t>
      </w:r>
      <w:proofErr w:type="spellEnd"/>
      <w:r w:rsidRPr="00692327">
        <w:t xml:space="preserve">, K.N. Galvão, and R.C. Chebel. 2004. Timed artificial insemination with </w:t>
      </w:r>
      <w:proofErr w:type="spellStart"/>
      <w:r w:rsidRPr="00692327">
        <w:t>estradiol</w:t>
      </w:r>
      <w:proofErr w:type="spellEnd"/>
      <w:r w:rsidRPr="00692327">
        <w:t xml:space="preserve"> </w:t>
      </w:r>
      <w:proofErr w:type="spellStart"/>
      <w:r w:rsidRPr="00692327">
        <w:t>cypionate</w:t>
      </w:r>
      <w:proofErr w:type="spellEnd"/>
      <w:r w:rsidRPr="00692327">
        <w:t xml:space="preserve"> or Insemination at estrus in high-producing dairy cows. </w:t>
      </w:r>
      <w:r w:rsidRPr="00692327">
        <w:rPr>
          <w:lang w:val="pt-BR"/>
        </w:rPr>
        <w:t>J. Dairy Sci. 87:3704-3715.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</w:pPr>
      <w:r w:rsidRPr="00692327">
        <w:rPr>
          <w:lang w:val="pt-BR"/>
        </w:rPr>
        <w:t xml:space="preserve">Santos, J.E.P., S.O. Juchem, R.L.A. Cerri, K.N. Galvão, R.C. Chebel, W.W. Thatcher, C.S. Dei,  and C.R. Bilby. </w:t>
      </w:r>
      <w:r w:rsidRPr="00692327">
        <w:t xml:space="preserve">2004. Effect of </w:t>
      </w:r>
      <w:proofErr w:type="spellStart"/>
      <w:r w:rsidRPr="00692327">
        <w:t>bST</w:t>
      </w:r>
      <w:proofErr w:type="spellEnd"/>
      <w:r w:rsidRPr="00692327">
        <w:t xml:space="preserve"> and Reproductive </w:t>
      </w:r>
      <w:r w:rsidRPr="00692327">
        <w:lastRenderedPageBreak/>
        <w:t xml:space="preserve">Management on Reproductive Performance of Holstein Dairy Cows. J. Dairy Sci. 87:868-881 </w:t>
      </w:r>
    </w:p>
    <w:p w:rsidR="00692327" w:rsidRPr="00692327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  <w:rPr>
          <w:lang w:val="pt-BR"/>
        </w:rPr>
      </w:pPr>
      <w:r w:rsidRPr="00692327">
        <w:t xml:space="preserve">Santos, J.E.P., W.W. Thatcher, R.C. Chebel, R.L.A. </w:t>
      </w:r>
      <w:proofErr w:type="spellStart"/>
      <w:r w:rsidRPr="00692327">
        <w:t>Cerri</w:t>
      </w:r>
      <w:proofErr w:type="spellEnd"/>
      <w:r w:rsidRPr="00692327">
        <w:t xml:space="preserve"> and K.N. Galvão. 2004. The effect of embryonic death rates in cattle on the efficacy of estrus synchronization programs. </w:t>
      </w:r>
      <w:r w:rsidRPr="00692327">
        <w:rPr>
          <w:lang w:val="pt-BR"/>
        </w:rPr>
        <w:t>Anim. Reprod. Sci. 82-83:513-535.</w:t>
      </w:r>
    </w:p>
    <w:p w:rsidR="00692327" w:rsidRPr="003504B9" w:rsidRDefault="00692327" w:rsidP="00692327">
      <w:pPr>
        <w:numPr>
          <w:ilvl w:val="0"/>
          <w:numId w:val="2"/>
        </w:numPr>
        <w:tabs>
          <w:tab w:val="clear" w:pos="1440"/>
        </w:tabs>
        <w:autoSpaceDE w:val="0"/>
        <w:autoSpaceDN w:val="0"/>
        <w:ind w:left="720" w:hanging="360"/>
        <w:jc w:val="both"/>
      </w:pPr>
      <w:r w:rsidRPr="00692327">
        <w:rPr>
          <w:lang w:val="pt-BR"/>
        </w:rPr>
        <w:t xml:space="preserve">Chebel, R.C., J.E.P. Santos, S.O. Juchem, R.L.A. Cerri, K.N. Galvão, and W.W. Thatcher. </w:t>
      </w:r>
      <w:r w:rsidRPr="00692327">
        <w:t xml:space="preserve">2003. Effect of resynchronization with </w:t>
      </w:r>
      <w:proofErr w:type="spellStart"/>
      <w:r w:rsidRPr="00692327">
        <w:t>GnRH</w:t>
      </w:r>
      <w:proofErr w:type="spellEnd"/>
      <w:r w:rsidRPr="00692327">
        <w:t xml:space="preserve"> on day 21 after artificial insemination on conception rate and pregnancy loss in lactating dairy cows. </w:t>
      </w:r>
      <w:r w:rsidRPr="00692327">
        <w:rPr>
          <w:lang w:val="pt-BR"/>
        </w:rPr>
        <w:t>Theriogenology. 60:1389-1399.</w:t>
      </w:r>
    </w:p>
    <w:p w:rsidR="003504B9" w:rsidRDefault="003504B9" w:rsidP="003504B9">
      <w:pPr>
        <w:autoSpaceDE w:val="0"/>
        <w:autoSpaceDN w:val="0"/>
        <w:ind w:left="360"/>
        <w:jc w:val="both"/>
        <w:rPr>
          <w:lang w:val="pt-BR"/>
        </w:rPr>
      </w:pPr>
    </w:p>
    <w:p w:rsidR="003504B9" w:rsidRDefault="003504B9" w:rsidP="003504B9">
      <w:pPr>
        <w:autoSpaceDE w:val="0"/>
        <w:autoSpaceDN w:val="0"/>
        <w:ind w:left="360"/>
        <w:jc w:val="both"/>
        <w:rPr>
          <w:lang w:val="pt-BR"/>
        </w:rPr>
      </w:pPr>
    </w:p>
    <w:p w:rsidR="003504B9" w:rsidRDefault="003504B9" w:rsidP="003504B9">
      <w:pPr>
        <w:autoSpaceDE w:val="0"/>
        <w:autoSpaceDN w:val="0"/>
        <w:ind w:left="360"/>
        <w:jc w:val="both"/>
        <w:rPr>
          <w:lang w:val="pt-BR"/>
        </w:rPr>
      </w:pPr>
    </w:p>
    <w:p w:rsidR="003504B9" w:rsidRPr="003504B9" w:rsidRDefault="003504B9" w:rsidP="003504B9">
      <w:pPr>
        <w:autoSpaceDE w:val="0"/>
        <w:autoSpaceDN w:val="0"/>
        <w:ind w:left="360"/>
        <w:jc w:val="both"/>
        <w:rPr>
          <w:b/>
        </w:rPr>
      </w:pPr>
      <w:r w:rsidRPr="003504B9">
        <w:rPr>
          <w:b/>
        </w:rPr>
        <w:t>C.</w:t>
      </w:r>
      <w:r w:rsidRPr="003504B9">
        <w:rPr>
          <w:b/>
        </w:rPr>
        <w:tab/>
        <w:t>Research Support</w:t>
      </w:r>
    </w:p>
    <w:p w:rsidR="003504B9" w:rsidRPr="003504B9" w:rsidRDefault="003504B9" w:rsidP="003504B9">
      <w:pPr>
        <w:autoSpaceDE w:val="0"/>
        <w:autoSpaceDN w:val="0"/>
        <w:ind w:left="360"/>
        <w:jc w:val="both"/>
        <w:rPr>
          <w:b/>
          <w:u w:val="single"/>
        </w:rPr>
      </w:pPr>
      <w:r w:rsidRPr="003504B9">
        <w:rPr>
          <w:b/>
          <w:u w:val="single"/>
        </w:rPr>
        <w:t>Ongoing Research Support</w:t>
      </w:r>
    </w:p>
    <w:p w:rsidR="003504B9" w:rsidRDefault="003504B9" w:rsidP="003504B9">
      <w:pPr>
        <w:autoSpaceDE w:val="0"/>
        <w:autoSpaceDN w:val="0"/>
        <w:ind w:left="360"/>
        <w:jc w:val="both"/>
      </w:pPr>
    </w:p>
    <w:p w:rsidR="0034060F" w:rsidRDefault="0034060F" w:rsidP="003504B9">
      <w:pPr>
        <w:autoSpaceDE w:val="0"/>
        <w:autoSpaceDN w:val="0"/>
        <w:ind w:left="360"/>
        <w:jc w:val="both"/>
      </w:pPr>
    </w:p>
    <w:p w:rsidR="0034060F" w:rsidRDefault="0034060F" w:rsidP="0034060F">
      <w:pPr>
        <w:autoSpaceDE w:val="0"/>
        <w:autoSpaceDN w:val="0"/>
        <w:ind w:left="360"/>
        <w:jc w:val="both"/>
      </w:pPr>
      <w:proofErr w:type="gramStart"/>
      <w:r>
        <w:t xml:space="preserve">Effect of </w:t>
      </w:r>
      <w:proofErr w:type="spellStart"/>
      <w:r>
        <w:t>GnRH</w:t>
      </w:r>
      <w:proofErr w:type="spellEnd"/>
      <w:r>
        <w:t xml:space="preserve"> administration around 20 days in milk on uterine health and fertility in lactating dairy cows.</w:t>
      </w:r>
      <w:proofErr w:type="gramEnd"/>
      <w:r>
        <w:t xml:space="preserve"> Milk Check-Off Dairy Research and Education Projects, $16,950.00, </w:t>
      </w:r>
      <w:r w:rsidR="00425D95">
        <w:t>2011 – 2012</w:t>
      </w:r>
      <w:r>
        <w:t>.</w:t>
      </w:r>
    </w:p>
    <w:p w:rsidR="0034060F" w:rsidRDefault="0034060F" w:rsidP="0034060F">
      <w:pPr>
        <w:autoSpaceDE w:val="0"/>
        <w:autoSpaceDN w:val="0"/>
        <w:ind w:left="360"/>
        <w:jc w:val="both"/>
      </w:pPr>
      <w:r>
        <w:t>Role: PI</w:t>
      </w:r>
    </w:p>
    <w:p w:rsidR="0034060F" w:rsidRDefault="0034060F" w:rsidP="0034060F">
      <w:pPr>
        <w:autoSpaceDE w:val="0"/>
        <w:autoSpaceDN w:val="0"/>
        <w:ind w:left="360"/>
        <w:jc w:val="both"/>
      </w:pPr>
    </w:p>
    <w:p w:rsidR="00425D95" w:rsidRDefault="00425D95" w:rsidP="0034060F">
      <w:pPr>
        <w:autoSpaceDE w:val="0"/>
        <w:autoSpaceDN w:val="0"/>
        <w:ind w:left="360"/>
        <w:jc w:val="both"/>
      </w:pPr>
      <w:r>
        <w:t xml:space="preserve">Effect of intrauterine </w:t>
      </w:r>
      <w:proofErr w:type="spellStart"/>
      <w:r>
        <w:t>Arcanobacterium</w:t>
      </w:r>
      <w:proofErr w:type="spellEnd"/>
      <w:r>
        <w:t xml:space="preserve"> pyogenes inoculation on hormonal and immunological factors associated with luteolysis and prolonged luteal phase. </w:t>
      </w:r>
      <w:proofErr w:type="gramStart"/>
      <w:r>
        <w:t>Consolidated Faculty Research Grant, $6,000.00, 2011 – 2012.</w:t>
      </w:r>
      <w:proofErr w:type="gramEnd"/>
    </w:p>
    <w:p w:rsidR="00425D95" w:rsidRDefault="00425D95" w:rsidP="0034060F">
      <w:pPr>
        <w:autoSpaceDE w:val="0"/>
        <w:autoSpaceDN w:val="0"/>
        <w:ind w:left="360"/>
        <w:jc w:val="both"/>
      </w:pPr>
      <w:r>
        <w:t xml:space="preserve">Role: PI </w:t>
      </w:r>
    </w:p>
    <w:p w:rsidR="00425D95" w:rsidRDefault="00425D95" w:rsidP="0034060F">
      <w:pPr>
        <w:autoSpaceDE w:val="0"/>
        <w:autoSpaceDN w:val="0"/>
        <w:ind w:left="360"/>
        <w:jc w:val="both"/>
      </w:pPr>
    </w:p>
    <w:p w:rsidR="0034060F" w:rsidRDefault="0034060F" w:rsidP="0034060F">
      <w:pPr>
        <w:autoSpaceDE w:val="0"/>
        <w:autoSpaceDN w:val="0"/>
        <w:ind w:left="360"/>
        <w:jc w:val="both"/>
      </w:pPr>
      <w:proofErr w:type="gramStart"/>
      <w:r>
        <w:t>Integrated Sustainable Dairy Program.</w:t>
      </w:r>
      <w:proofErr w:type="gramEnd"/>
      <w:r>
        <w:t xml:space="preserve"> </w:t>
      </w:r>
      <w:r w:rsidRPr="0090223B">
        <w:t xml:space="preserve">North Central </w:t>
      </w:r>
      <w:r>
        <w:t>Sustainable Agriculture Research &amp; Education (</w:t>
      </w:r>
      <w:r w:rsidRPr="0090223B">
        <w:t>SARE</w:t>
      </w:r>
      <w:r>
        <w:t>), $59,266.00, 2011 – 2012</w:t>
      </w:r>
      <w:r w:rsidR="00425D95">
        <w:t>.</w:t>
      </w:r>
    </w:p>
    <w:p w:rsidR="0034060F" w:rsidRDefault="0034060F" w:rsidP="0034060F">
      <w:pPr>
        <w:autoSpaceDE w:val="0"/>
        <w:autoSpaceDN w:val="0"/>
        <w:ind w:left="360"/>
        <w:jc w:val="both"/>
      </w:pPr>
      <w:r>
        <w:t>Role: Co-PI</w:t>
      </w:r>
    </w:p>
    <w:p w:rsidR="0034060F" w:rsidRDefault="0034060F" w:rsidP="0034060F">
      <w:pPr>
        <w:autoSpaceDE w:val="0"/>
        <w:autoSpaceDN w:val="0"/>
        <w:ind w:left="360"/>
        <w:jc w:val="both"/>
      </w:pPr>
    </w:p>
    <w:p w:rsidR="0034060F" w:rsidRDefault="0034060F" w:rsidP="0034060F">
      <w:pPr>
        <w:autoSpaceDE w:val="0"/>
        <w:autoSpaceDN w:val="0"/>
        <w:ind w:left="360"/>
        <w:jc w:val="both"/>
      </w:pPr>
      <w:proofErr w:type="gramStart"/>
      <w:r>
        <w:t>Crystalline Ceftiofur for Treatment of Retained Fetal Membranes in Dairy Cows.</w:t>
      </w:r>
      <w:proofErr w:type="gramEnd"/>
      <w:r>
        <w:t xml:space="preserve"> </w:t>
      </w:r>
      <w:proofErr w:type="gramStart"/>
      <w:r w:rsidR="00425D95">
        <w:t>Milk Check-Off Dairy Research and Education Projects.</w:t>
      </w:r>
      <w:proofErr w:type="gramEnd"/>
      <w:r w:rsidR="00425D95">
        <w:t xml:space="preserve"> $12,400.00, 2011 – 2012. </w:t>
      </w:r>
    </w:p>
    <w:p w:rsidR="0034060F" w:rsidRDefault="0034060F" w:rsidP="0034060F">
      <w:pPr>
        <w:autoSpaceDE w:val="0"/>
        <w:autoSpaceDN w:val="0"/>
        <w:ind w:left="360"/>
        <w:jc w:val="both"/>
      </w:pPr>
      <w:r>
        <w:t>Role: Co-PI</w:t>
      </w:r>
    </w:p>
    <w:p w:rsidR="0034060F" w:rsidRDefault="0034060F" w:rsidP="0034060F">
      <w:pPr>
        <w:autoSpaceDE w:val="0"/>
        <w:autoSpaceDN w:val="0"/>
        <w:ind w:left="360"/>
        <w:jc w:val="both"/>
      </w:pPr>
    </w:p>
    <w:p w:rsidR="0034060F" w:rsidRDefault="0034060F" w:rsidP="0034060F">
      <w:pPr>
        <w:autoSpaceDE w:val="0"/>
        <w:autoSpaceDN w:val="0"/>
        <w:ind w:left="360"/>
        <w:jc w:val="both"/>
      </w:pPr>
      <w:proofErr w:type="gramStart"/>
      <w:r>
        <w:t>Effect of increasing the voluntary waiting period on profitability of lactating dairy cows.</w:t>
      </w:r>
      <w:proofErr w:type="gramEnd"/>
      <w:r>
        <w:t xml:space="preserve"> </w:t>
      </w:r>
      <w:proofErr w:type="gramStart"/>
      <w:r w:rsidR="00425D95">
        <w:t>Milk Check-Off Dairy Research and Education Projects.</w:t>
      </w:r>
      <w:proofErr w:type="gramEnd"/>
      <w:r w:rsidR="00425D95">
        <w:t xml:space="preserve"> $9,000.00, 2011 – 2012. </w:t>
      </w:r>
    </w:p>
    <w:p w:rsidR="0034060F" w:rsidRDefault="0034060F" w:rsidP="0034060F">
      <w:pPr>
        <w:autoSpaceDE w:val="0"/>
        <w:autoSpaceDN w:val="0"/>
        <w:ind w:left="360"/>
        <w:jc w:val="both"/>
      </w:pPr>
      <w:r>
        <w:t>Role: Co-PI</w:t>
      </w:r>
    </w:p>
    <w:p w:rsidR="0034060F" w:rsidRDefault="0034060F" w:rsidP="0034060F">
      <w:pPr>
        <w:autoSpaceDE w:val="0"/>
        <w:autoSpaceDN w:val="0"/>
        <w:ind w:left="360"/>
        <w:jc w:val="both"/>
      </w:pPr>
    </w:p>
    <w:p w:rsidR="0034060F" w:rsidRDefault="0034060F" w:rsidP="0034060F">
      <w:pPr>
        <w:autoSpaceDE w:val="0"/>
        <w:autoSpaceDN w:val="0"/>
        <w:ind w:left="360"/>
        <w:jc w:val="both"/>
      </w:pPr>
      <w:proofErr w:type="gramStart"/>
      <w:r>
        <w:t xml:space="preserve">Therapeutic Strategies for </w:t>
      </w:r>
      <w:proofErr w:type="spellStart"/>
      <w:r>
        <w:t>Anovular</w:t>
      </w:r>
      <w:proofErr w:type="spellEnd"/>
      <w:r>
        <w:t xml:space="preserve"> Dairy Cows.</w:t>
      </w:r>
      <w:proofErr w:type="gramEnd"/>
      <w:r>
        <w:t xml:space="preserve"> </w:t>
      </w:r>
      <w:proofErr w:type="gramStart"/>
      <w:r w:rsidR="00425D95">
        <w:t>Milk Check-Off Dairy Research and Education Projects.</w:t>
      </w:r>
      <w:proofErr w:type="gramEnd"/>
      <w:r w:rsidR="00425D95">
        <w:t xml:space="preserve"> </w:t>
      </w:r>
      <w:r>
        <w:t>$</w:t>
      </w:r>
      <w:r w:rsidR="00425D95">
        <w:t xml:space="preserve">21,350.00, 2011 – 2012. </w:t>
      </w:r>
    </w:p>
    <w:p w:rsidR="0034060F" w:rsidRDefault="0034060F" w:rsidP="0034060F">
      <w:pPr>
        <w:autoSpaceDE w:val="0"/>
        <w:autoSpaceDN w:val="0"/>
        <w:ind w:left="360"/>
        <w:jc w:val="both"/>
      </w:pPr>
      <w:r>
        <w:t>Role: Co-PI</w:t>
      </w:r>
    </w:p>
    <w:p w:rsidR="0034060F" w:rsidRDefault="0034060F" w:rsidP="0034060F">
      <w:pPr>
        <w:autoSpaceDE w:val="0"/>
        <w:autoSpaceDN w:val="0"/>
        <w:ind w:left="360"/>
        <w:jc w:val="both"/>
      </w:pPr>
    </w:p>
    <w:p w:rsidR="0034060F" w:rsidRDefault="0034060F" w:rsidP="0034060F">
      <w:pPr>
        <w:autoSpaceDE w:val="0"/>
        <w:autoSpaceDN w:val="0"/>
        <w:ind w:left="360"/>
        <w:jc w:val="both"/>
      </w:pPr>
    </w:p>
    <w:p w:rsidR="0063030E" w:rsidRPr="00692327" w:rsidRDefault="0063030E" w:rsidP="0063030E">
      <w:pPr>
        <w:widowControl w:val="0"/>
        <w:tabs>
          <w:tab w:val="left" w:pos="-1440"/>
        </w:tabs>
        <w:autoSpaceDE w:val="0"/>
        <w:autoSpaceDN w:val="0"/>
        <w:adjustRightInd w:val="0"/>
        <w:jc w:val="both"/>
      </w:pPr>
    </w:p>
    <w:sectPr w:rsidR="0063030E" w:rsidRPr="00692327" w:rsidSect="001A4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3F0"/>
    <w:multiLevelType w:val="multilevel"/>
    <w:tmpl w:val="8CF29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88212E9"/>
    <w:multiLevelType w:val="hybridMultilevel"/>
    <w:tmpl w:val="55E6E12C"/>
    <w:lvl w:ilvl="0" w:tplc="D748A662">
      <w:start w:val="1"/>
      <w:numFmt w:val="decimal"/>
      <w:lvlText w:val="%1."/>
      <w:lvlJc w:val="left"/>
      <w:pPr>
        <w:tabs>
          <w:tab w:val="num" w:pos="1440"/>
        </w:tabs>
        <w:ind w:left="1440" w:hanging="13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39209D"/>
    <w:multiLevelType w:val="hybridMultilevel"/>
    <w:tmpl w:val="B538BCCE"/>
    <w:lvl w:ilvl="0" w:tplc="1BEA6154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63030E"/>
    <w:rsid w:val="0009309D"/>
    <w:rsid w:val="00192353"/>
    <w:rsid w:val="001A43BD"/>
    <w:rsid w:val="00202AC4"/>
    <w:rsid w:val="002F39F0"/>
    <w:rsid w:val="0030436D"/>
    <w:rsid w:val="0034060F"/>
    <w:rsid w:val="003504B9"/>
    <w:rsid w:val="00425D95"/>
    <w:rsid w:val="004B2DD9"/>
    <w:rsid w:val="005E3F36"/>
    <w:rsid w:val="005F4EE7"/>
    <w:rsid w:val="0063030E"/>
    <w:rsid w:val="00692327"/>
    <w:rsid w:val="00723FA3"/>
    <w:rsid w:val="00824FE7"/>
    <w:rsid w:val="008412D0"/>
    <w:rsid w:val="0090223B"/>
    <w:rsid w:val="00906488"/>
    <w:rsid w:val="00927DE0"/>
    <w:rsid w:val="009D658E"/>
    <w:rsid w:val="009E03AA"/>
    <w:rsid w:val="00AC396C"/>
    <w:rsid w:val="00BF3A1D"/>
    <w:rsid w:val="00C21D38"/>
    <w:rsid w:val="00CE5038"/>
    <w:rsid w:val="00CF2A8E"/>
    <w:rsid w:val="00D817BB"/>
    <w:rsid w:val="00D844E7"/>
    <w:rsid w:val="00E06512"/>
    <w:rsid w:val="00E47986"/>
    <w:rsid w:val="00E93A69"/>
    <w:rsid w:val="00ED7B2D"/>
    <w:rsid w:val="00F920F9"/>
    <w:rsid w:val="00F9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3030E"/>
    <w:pPr>
      <w:autoSpaceDE w:val="0"/>
      <w:autoSpaceDN w:val="0"/>
    </w:pPr>
    <w:rPr>
      <w:rFonts w:ascii="Times" w:hAnsi="Times" w:cs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UF College of Veterinary Medicine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Carlos Risco</dc:creator>
  <cp:keywords/>
  <dc:description/>
  <cp:lastModifiedBy>VetMed User</cp:lastModifiedBy>
  <cp:revision>4</cp:revision>
  <dcterms:created xsi:type="dcterms:W3CDTF">2011-09-06T16:22:00Z</dcterms:created>
  <dcterms:modified xsi:type="dcterms:W3CDTF">2011-09-22T12:57:00Z</dcterms:modified>
</cp:coreProperties>
</file>